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2B" w:rsidRDefault="004D202B" w:rsidP="004D202B">
      <w:pPr>
        <w:ind w:right="-360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003DD" wp14:editId="26711220">
                <wp:simplePos x="0" y="0"/>
                <wp:positionH relativeFrom="column">
                  <wp:posOffset>819785</wp:posOffset>
                </wp:positionH>
                <wp:positionV relativeFrom="paragraph">
                  <wp:posOffset>366395</wp:posOffset>
                </wp:positionV>
                <wp:extent cx="3784600" cy="0"/>
                <wp:effectExtent l="0" t="0" r="2540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40E3E" id="Straight Connector 23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5pt,28.85pt" to="362.5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98ugEAAMcDAAAOAAAAZHJzL2Uyb0RvYy54bWysU8GOEzEMvSPxD1HudKZdWFa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" strokecolor="#4579b8 [3044]"/>
            </w:pict>
          </mc:Fallback>
        </mc:AlternateContent>
      </w: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10B1F" wp14:editId="20A498A1">
                <wp:simplePos x="0" y="0"/>
                <wp:positionH relativeFrom="column">
                  <wp:posOffset>724343</wp:posOffset>
                </wp:positionH>
                <wp:positionV relativeFrom="paragraph">
                  <wp:posOffset>5316</wp:posOffset>
                </wp:positionV>
                <wp:extent cx="4540102" cy="36195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02B" w:rsidRPr="00125FE0" w:rsidRDefault="004D202B" w:rsidP="004D202B">
                            <w:pPr>
                              <w:spacing w:before="80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125FE0">
                              <w:rPr>
                                <w:b/>
                                <w:color w:val="7F7F7F" w:themeColor="text1" w:themeTint="80"/>
                              </w:rPr>
                              <w:t>UN Partnership to Promote the Rights of Persons with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10B1F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margin-left:57.05pt;margin-top:.4pt;width:357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" filled="f" stroked="f" strokeweight=".5pt">
                <v:textbox>
                  <w:txbxContent>
                    <w:p w:rsidR="004D202B" w:rsidRPr="00125FE0" w:rsidRDefault="004D202B" w:rsidP="004D202B">
                      <w:pPr>
                        <w:spacing w:before="80"/>
                        <w:rPr>
                          <w:b/>
                          <w:color w:val="7F7F7F" w:themeColor="text1" w:themeTint="80"/>
                        </w:rPr>
                      </w:pPr>
                      <w:r w:rsidRPr="00125FE0">
                        <w:rPr>
                          <w:b/>
                          <w:color w:val="7F7F7F" w:themeColor="text1" w:themeTint="80"/>
                        </w:rPr>
                        <w:t>UN Partnership to Promote the Rights of Persons with Disabilities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00F55" wp14:editId="7CD92E94">
                <wp:simplePos x="0" y="0"/>
                <wp:positionH relativeFrom="column">
                  <wp:posOffset>723900</wp:posOffset>
                </wp:positionH>
                <wp:positionV relativeFrom="paragraph">
                  <wp:posOffset>419101</wp:posOffset>
                </wp:positionV>
                <wp:extent cx="3533775" cy="26670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02B" w:rsidRPr="00125FE0" w:rsidRDefault="004D202B" w:rsidP="004D202B">
                            <w:pPr>
                              <w:spacing w:before="60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125FE0">
                              <w:rPr>
                                <w:color w:val="808080" w:themeColor="background1" w:themeShade="80"/>
                                <w:sz w:val="16"/>
                              </w:rPr>
                              <w:t>ILO | OHCHR| UNDESA | UNDP | UNICEF | 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0F55" id="Text Box 232" o:spid="_x0000_s1027" type="#_x0000_t202" style="position:absolute;margin-left:57pt;margin-top:33pt;width:278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" filled="f" stroked="f" strokeweight=".5pt">
                <v:textbox>
                  <w:txbxContent>
                    <w:p w:rsidR="004D202B" w:rsidRPr="00125FE0" w:rsidRDefault="004D202B" w:rsidP="004D202B">
                      <w:pPr>
                        <w:spacing w:before="60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125FE0">
                        <w:rPr>
                          <w:color w:val="808080" w:themeColor="background1" w:themeShade="80"/>
                          <w:sz w:val="16"/>
                        </w:rPr>
                        <w:t>ILO | OHCHR| UNDESA | UNDP | UNICEF | WHO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</w:rPr>
        <w:drawing>
          <wp:inline distT="0" distB="0" distL="0" distR="0" wp14:anchorId="32DCE9E3" wp14:editId="600588B2">
            <wp:extent cx="722376" cy="713232"/>
            <wp:effectExtent l="0" t="0" r="1905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28"/>
        </w:rPr>
        <w:t xml:space="preserve">                                    </w:t>
      </w:r>
    </w:p>
    <w:p w:rsidR="00F36F7E" w:rsidRDefault="00F36F7E" w:rsidP="004D202B">
      <w:pPr>
        <w:spacing w:before="100" w:beforeAutospacing="1" w:after="100" w:afterAutospacing="1"/>
      </w:pPr>
    </w:p>
    <w:p w:rsidR="004D202B" w:rsidRDefault="00E34807" w:rsidP="00E34807">
      <w:pPr>
        <w:pBdr>
          <w:bottom w:val="single" w:sz="6" w:space="1" w:color="auto"/>
        </w:pBdr>
        <w:spacing w:after="0"/>
        <w:rPr>
          <w:b/>
          <w:sz w:val="28"/>
        </w:rPr>
      </w:pPr>
      <w:r>
        <w:rPr>
          <w:b/>
          <w:sz w:val="28"/>
        </w:rPr>
        <w:t>ANNUAL WORKPLAN</w:t>
      </w:r>
    </w:p>
    <w:p w:rsidR="00E34807" w:rsidRDefault="00E34807" w:rsidP="00E34807">
      <w:pPr>
        <w:pBdr>
          <w:bottom w:val="single" w:sz="6" w:space="1" w:color="auto"/>
        </w:pBdr>
        <w:spacing w:after="0" w:line="240" w:lineRule="auto"/>
        <w:rPr>
          <w:b/>
          <w:sz w:val="28"/>
        </w:rPr>
      </w:pPr>
    </w:p>
    <w:p w:rsidR="00E34807" w:rsidRDefault="00E34807" w:rsidP="00E34807">
      <w:pPr>
        <w:spacing w:before="100" w:beforeAutospacing="1" w:after="100" w:afterAutospacing="1" w:line="266" w:lineRule="auto"/>
        <w:rPr>
          <w:sz w:val="24"/>
        </w:rPr>
      </w:pPr>
    </w:p>
    <w:p w:rsidR="00E34807" w:rsidRPr="00E34807" w:rsidRDefault="00832AD3" w:rsidP="00E34807">
      <w:pPr>
        <w:spacing w:before="100" w:beforeAutospacing="1" w:after="100" w:afterAutospacing="1" w:line="266" w:lineRule="auto"/>
        <w:rPr>
          <w:b/>
          <w:sz w:val="24"/>
        </w:rPr>
      </w:pPr>
      <w:r>
        <w:rPr>
          <w:b/>
          <w:sz w:val="24"/>
        </w:rPr>
        <w:t>Introduction</w:t>
      </w:r>
    </w:p>
    <w:p w:rsidR="00E34807" w:rsidRPr="00A00EE7" w:rsidRDefault="00E34807" w:rsidP="00A00EE7">
      <w:pPr>
        <w:spacing w:before="100" w:beforeAutospacing="1" w:after="100" w:afterAutospacing="1"/>
        <w:jc w:val="both"/>
      </w:pPr>
      <w:r w:rsidRPr="00A00EE7">
        <w:t xml:space="preserve">For each of the outcomes in the approved project document, please indicate the </w:t>
      </w:r>
      <w:r w:rsidR="0087337E">
        <w:t xml:space="preserve">outputs </w:t>
      </w:r>
      <w:r w:rsidRPr="00A00EE7">
        <w:t xml:space="preserve">that </w:t>
      </w:r>
      <w:r w:rsidR="0087337E">
        <w:t>are expected to be delivered</w:t>
      </w:r>
      <w:r w:rsidRPr="00A00EE7">
        <w:t xml:space="preserve"> by the project over the planning period</w:t>
      </w:r>
      <w:r w:rsidR="00A00EE7" w:rsidRPr="00A00EE7">
        <w:t xml:space="preserve">. Please also indicate the quarter(s) in which </w:t>
      </w:r>
      <w:r w:rsidR="0087337E">
        <w:t>work related to each output is</w:t>
      </w:r>
      <w:r w:rsidR="00A00EE7" w:rsidRPr="00A00EE7">
        <w:t xml:space="preserve"> expected to take place as well as the </w:t>
      </w:r>
      <w:r w:rsidR="0087337E">
        <w:t xml:space="preserve">envisaged </w:t>
      </w:r>
      <w:r w:rsidR="00A00EE7" w:rsidRPr="00A00EE7">
        <w:t xml:space="preserve">expenditure for each </w:t>
      </w:r>
      <w:r w:rsidR="0087337E">
        <w:t>output</w:t>
      </w:r>
      <w:r w:rsidR="00A00EE7" w:rsidRPr="00A00EE7">
        <w:t>. Some activities, such as for instance a project planning workshop or the recruitment of a project coordinator, may not be directly imputable to any single outcome. Please describe these activities in the “cross-cutting” section.</w:t>
      </w:r>
    </w:p>
    <w:p w:rsidR="00A00EE7" w:rsidRDefault="00E34807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515"/>
        <w:gridCol w:w="5163"/>
        <w:gridCol w:w="585"/>
        <w:gridCol w:w="585"/>
        <w:gridCol w:w="585"/>
        <w:gridCol w:w="585"/>
        <w:gridCol w:w="1350"/>
        <w:gridCol w:w="2700"/>
      </w:tblGrid>
      <w:tr w:rsidR="000544E3" w:rsidTr="00CB1363">
        <w:tc>
          <w:tcPr>
            <w:tcW w:w="1306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0544E3" w:rsidRPr="000544E3" w:rsidRDefault="003F09D8" w:rsidP="00A00EE7">
            <w:pPr>
              <w:spacing w:before="120" w:after="120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 xml:space="preserve">Ethiopia, Project to Support The Establishment of the African Disability Forum (ADF) </w:t>
            </w:r>
          </w:p>
        </w:tc>
      </w:tr>
      <w:tr w:rsidR="009107A8" w:rsidTr="00CB1363">
        <w:tc>
          <w:tcPr>
            <w:tcW w:w="151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 w:rsidRPr="009107A8">
              <w:rPr>
                <w:rFonts w:cstheme="minorHAnsi"/>
                <w:b/>
                <w:sz w:val="18"/>
                <w:szCs w:val="16"/>
              </w:rPr>
              <w:t>Outcomes</w:t>
            </w:r>
          </w:p>
        </w:tc>
        <w:tc>
          <w:tcPr>
            <w:tcW w:w="516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107A8" w:rsidRPr="009107A8" w:rsidRDefault="00BB0CBA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Output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107A8" w:rsidRPr="009107A8" w:rsidRDefault="009107A8" w:rsidP="009107A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 w:rsidRPr="009107A8">
              <w:rPr>
                <w:rFonts w:cstheme="minorHAnsi"/>
                <w:b/>
                <w:sz w:val="18"/>
                <w:szCs w:val="16"/>
              </w:rPr>
              <w:t xml:space="preserve">Planned timeframe </w:t>
            </w:r>
            <w:r w:rsidR="00A10B2D">
              <w:rPr>
                <w:rFonts w:cstheme="minorHAnsi"/>
                <w:b/>
                <w:sz w:val="18"/>
                <w:szCs w:val="16"/>
              </w:rPr>
              <w:t>for 2015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 w:rsidRPr="009107A8">
              <w:rPr>
                <w:rFonts w:cstheme="minorHAnsi"/>
                <w:b/>
                <w:sz w:val="18"/>
                <w:szCs w:val="16"/>
              </w:rPr>
              <w:t>Planned expenditure (USD total)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 w:rsidRPr="009107A8">
              <w:rPr>
                <w:rFonts w:cstheme="minorHAnsi"/>
                <w:b/>
                <w:sz w:val="18"/>
                <w:szCs w:val="16"/>
              </w:rPr>
              <w:t>Comments</w:t>
            </w:r>
            <w:r w:rsidR="003D4F13">
              <w:rPr>
                <w:rFonts w:cstheme="minorHAnsi"/>
                <w:b/>
                <w:sz w:val="18"/>
                <w:szCs w:val="16"/>
              </w:rPr>
              <w:t xml:space="preserve"> (if any)</w:t>
            </w:r>
          </w:p>
        </w:tc>
      </w:tr>
      <w:tr w:rsidR="009107A8" w:rsidTr="00CB1363">
        <w:tc>
          <w:tcPr>
            <w:tcW w:w="15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  <w:vMerge/>
            <w:tcBorders>
              <w:bottom w:val="double" w:sz="4" w:space="0" w:color="auto"/>
            </w:tcBorders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 w:rsidRPr="009107A8">
              <w:rPr>
                <w:rFonts w:cstheme="minorHAnsi"/>
                <w:b/>
                <w:sz w:val="18"/>
                <w:szCs w:val="16"/>
              </w:rPr>
              <w:t>Q1</w:t>
            </w: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 w:rsidRPr="009107A8">
              <w:rPr>
                <w:rFonts w:cstheme="minorHAnsi"/>
                <w:b/>
                <w:sz w:val="18"/>
                <w:szCs w:val="16"/>
              </w:rPr>
              <w:t>Q2</w:t>
            </w: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 w:rsidRPr="009107A8">
              <w:rPr>
                <w:rFonts w:cstheme="minorHAnsi"/>
                <w:b/>
                <w:sz w:val="18"/>
                <w:szCs w:val="16"/>
              </w:rPr>
              <w:t>Q3</w:t>
            </w: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 w:rsidRPr="009107A8">
              <w:rPr>
                <w:rFonts w:cstheme="minorHAnsi"/>
                <w:b/>
                <w:sz w:val="18"/>
                <w:szCs w:val="16"/>
              </w:rPr>
              <w:t>Q4</w:t>
            </w: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9107A8" w:rsidTr="00CB1363">
        <w:tc>
          <w:tcPr>
            <w:tcW w:w="15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 w:rsidRPr="009107A8">
              <w:rPr>
                <w:rFonts w:cstheme="minorHAnsi"/>
                <w:b/>
                <w:sz w:val="18"/>
                <w:szCs w:val="16"/>
              </w:rPr>
              <w:t xml:space="preserve">OUT1 </w:t>
            </w:r>
          </w:p>
          <w:p w:rsidR="00CB1363" w:rsidRPr="00CB1363" w:rsidRDefault="00A175F2" w:rsidP="00A00EE7">
            <w:pPr>
              <w:spacing w:before="120" w:after="120"/>
              <w:rPr>
                <w:rFonts w:cstheme="minorHAnsi"/>
              </w:rPr>
            </w:pPr>
            <w:r w:rsidRPr="00A175F2">
              <w:rPr>
                <w:rFonts w:cs="Arial"/>
                <w:lang w:val="en-GB"/>
              </w:rPr>
              <w:t>Provisional ADF Office/ Project Management modalities in place</w:t>
            </w:r>
          </w:p>
        </w:tc>
        <w:tc>
          <w:tcPr>
            <w:tcW w:w="5163" w:type="dxa"/>
            <w:tcBorders>
              <w:top w:val="double" w:sz="4" w:space="0" w:color="auto"/>
            </w:tcBorders>
          </w:tcPr>
          <w:p w:rsidR="009107A8" w:rsidRPr="00956524" w:rsidRDefault="00956524" w:rsidP="00956524">
            <w:pPr>
              <w:spacing w:before="120" w:after="120"/>
              <w:rPr>
                <w:rFonts w:cstheme="minorHAnsi"/>
                <w:sz w:val="18"/>
                <w:szCs w:val="16"/>
              </w:rPr>
            </w:pPr>
            <w:r w:rsidRPr="001A7E5F">
              <w:rPr>
                <w:rFonts w:cs="Arial"/>
                <w:lang w:val="en-GB"/>
              </w:rPr>
              <w:t>1.1: Programme Assistant TOR advertised and recruitment finalized</w:t>
            </w:r>
            <w:r w:rsidRPr="00956524">
              <w:rPr>
                <w:rFonts w:cstheme="minorHAnsi"/>
                <w:sz w:val="18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top w:val="double" w:sz="4" w:space="0" w:color="auto"/>
            </w:tcBorders>
          </w:tcPr>
          <w:p w:rsidR="009107A8" w:rsidRPr="009107A8" w:rsidRDefault="009107A8" w:rsidP="00754CF8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</w:tcPr>
          <w:p w:rsidR="009107A8" w:rsidRPr="009107A8" w:rsidRDefault="00754CF8" w:rsidP="00754CF8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X</w:t>
            </w:r>
          </w:p>
        </w:tc>
        <w:tc>
          <w:tcPr>
            <w:tcW w:w="585" w:type="dxa"/>
            <w:tcBorders>
              <w:top w:val="double" w:sz="4" w:space="0" w:color="auto"/>
            </w:tcBorders>
          </w:tcPr>
          <w:p w:rsidR="009107A8" w:rsidRPr="009107A8" w:rsidRDefault="009107A8" w:rsidP="00754CF8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</w:tcPr>
          <w:p w:rsidR="009107A8" w:rsidRPr="009107A8" w:rsidRDefault="009107A8" w:rsidP="00754CF8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9107A8" w:rsidRPr="009107A8" w:rsidRDefault="00550D11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4,000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9107A8" w:rsidTr="00956524">
        <w:trPr>
          <w:trHeight w:val="440"/>
        </w:trPr>
        <w:tc>
          <w:tcPr>
            <w:tcW w:w="1515" w:type="dxa"/>
            <w:vMerge/>
            <w:tcBorders>
              <w:left w:val="double" w:sz="4" w:space="0" w:color="auto"/>
            </w:tcBorders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</w:tcPr>
          <w:p w:rsidR="009107A8" w:rsidRPr="00CB1363" w:rsidRDefault="00956524" w:rsidP="00A00EE7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1.2: </w:t>
            </w:r>
            <w:r w:rsidR="001A7E5F">
              <w:rPr>
                <w:rFonts w:cs="Arial"/>
                <w:lang w:val="en-GB"/>
              </w:rPr>
              <w:t>Office space located and tenure contract completed</w:t>
            </w:r>
          </w:p>
        </w:tc>
        <w:tc>
          <w:tcPr>
            <w:tcW w:w="585" w:type="dxa"/>
          </w:tcPr>
          <w:p w:rsidR="009107A8" w:rsidRPr="009107A8" w:rsidRDefault="009107A8" w:rsidP="00754CF8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9107A8" w:rsidRPr="009107A8" w:rsidRDefault="00754CF8" w:rsidP="00754CF8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X</w:t>
            </w:r>
          </w:p>
        </w:tc>
        <w:tc>
          <w:tcPr>
            <w:tcW w:w="585" w:type="dxa"/>
          </w:tcPr>
          <w:p w:rsidR="009107A8" w:rsidRPr="009107A8" w:rsidRDefault="009107A8" w:rsidP="00754CF8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9107A8" w:rsidRPr="009107A8" w:rsidRDefault="009107A8" w:rsidP="00754CF8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</w:tcPr>
          <w:p w:rsidR="009107A8" w:rsidRPr="009107A8" w:rsidRDefault="00CC686B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6</w:t>
            </w:r>
            <w:r w:rsidR="002A7142">
              <w:rPr>
                <w:rFonts w:cstheme="minorHAnsi"/>
                <w:b/>
                <w:sz w:val="18"/>
                <w:szCs w:val="16"/>
              </w:rPr>
              <w:t>,</w:t>
            </w:r>
            <w:r>
              <w:rPr>
                <w:rFonts w:cstheme="minorHAnsi"/>
                <w:b/>
                <w:sz w:val="18"/>
                <w:szCs w:val="16"/>
              </w:rPr>
              <w:t>000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CB1363" w:rsidTr="00CB1363">
        <w:tc>
          <w:tcPr>
            <w:tcW w:w="1515" w:type="dxa"/>
            <w:vMerge/>
            <w:tcBorders>
              <w:left w:val="double" w:sz="4" w:space="0" w:color="auto"/>
            </w:tcBorders>
          </w:tcPr>
          <w:p w:rsidR="00CB1363" w:rsidRPr="009107A8" w:rsidRDefault="00CB1363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</w:tcPr>
          <w:p w:rsidR="00CB1363" w:rsidRPr="00CB1363" w:rsidRDefault="001A7E5F" w:rsidP="00A00EE7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1.3: Office </w:t>
            </w:r>
            <w:r w:rsidR="00550D11">
              <w:rPr>
                <w:rFonts w:cs="Arial"/>
                <w:lang w:val="en-GB"/>
              </w:rPr>
              <w:t>premises</w:t>
            </w:r>
            <w:r>
              <w:rPr>
                <w:rFonts w:cs="Arial"/>
                <w:lang w:val="en-GB"/>
              </w:rPr>
              <w:t xml:space="preserve"> fully furnished</w:t>
            </w:r>
            <w:r w:rsidR="00550D11">
              <w:rPr>
                <w:rFonts w:cs="Arial"/>
                <w:lang w:val="en-GB"/>
              </w:rPr>
              <w:t xml:space="preserve">, including for office equipment, internet connections and communications requirements </w:t>
            </w:r>
          </w:p>
        </w:tc>
        <w:tc>
          <w:tcPr>
            <w:tcW w:w="585" w:type="dxa"/>
          </w:tcPr>
          <w:p w:rsidR="00CB1363" w:rsidRPr="009107A8" w:rsidRDefault="00CB1363" w:rsidP="00754CF8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CB1363" w:rsidRPr="009107A8" w:rsidRDefault="00754CF8" w:rsidP="00754CF8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X</w:t>
            </w:r>
          </w:p>
        </w:tc>
        <w:tc>
          <w:tcPr>
            <w:tcW w:w="585" w:type="dxa"/>
          </w:tcPr>
          <w:p w:rsidR="00CB1363" w:rsidRPr="009107A8" w:rsidRDefault="00CB1363" w:rsidP="00754CF8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CB1363" w:rsidRPr="009107A8" w:rsidRDefault="00CB1363" w:rsidP="00754CF8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</w:tcPr>
          <w:p w:rsidR="00CB1363" w:rsidRPr="009107A8" w:rsidRDefault="002A7142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22,000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CB1363" w:rsidRPr="009107A8" w:rsidRDefault="002A7142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Including GOE </w:t>
            </w:r>
          </w:p>
        </w:tc>
      </w:tr>
      <w:tr w:rsidR="009107A8" w:rsidTr="0006540E">
        <w:tc>
          <w:tcPr>
            <w:tcW w:w="15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9107A8" w:rsidRPr="00CB1363" w:rsidRDefault="002A7142" w:rsidP="00A00EE7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Subtotal: </w:t>
            </w: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9107A8" w:rsidRPr="009107A8" w:rsidRDefault="002A7142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32,000</w:t>
            </w: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107A8" w:rsidRPr="009107A8" w:rsidRDefault="009107A8" w:rsidP="00A00EE7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A175F2" w:rsidTr="00CB1363">
        <w:tc>
          <w:tcPr>
            <w:tcW w:w="15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175F2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 w:rsidRPr="009107A8">
              <w:rPr>
                <w:rFonts w:cstheme="minorHAnsi"/>
                <w:b/>
                <w:sz w:val="18"/>
                <w:szCs w:val="16"/>
              </w:rPr>
              <w:t>OUT2</w:t>
            </w:r>
          </w:p>
          <w:p w:rsidR="00A175F2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 w:rsidRPr="00CB1363">
              <w:rPr>
                <w:rFonts w:cs="Arial"/>
                <w:lang w:val="en-GB"/>
              </w:rPr>
              <w:t>ADF governance structures created, ADF recognized, ADF communication functions operational</w:t>
            </w:r>
          </w:p>
        </w:tc>
        <w:tc>
          <w:tcPr>
            <w:tcW w:w="5163" w:type="dxa"/>
            <w:tcBorders>
              <w:top w:val="double" w:sz="4" w:space="0" w:color="auto"/>
            </w:tcBorders>
          </w:tcPr>
          <w:p w:rsidR="00A175F2" w:rsidRPr="009107A8" w:rsidRDefault="00956524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="Arial"/>
                <w:lang w:val="en-GB"/>
              </w:rPr>
              <w:t>2.1</w:t>
            </w:r>
            <w:r w:rsidR="00A175F2" w:rsidRPr="00CB1363">
              <w:rPr>
                <w:rFonts w:cs="Arial"/>
                <w:lang w:val="en-GB"/>
              </w:rPr>
              <w:t>: First ADF General Assembly Meeting held</w:t>
            </w:r>
          </w:p>
        </w:tc>
        <w:tc>
          <w:tcPr>
            <w:tcW w:w="585" w:type="dxa"/>
            <w:tcBorders>
              <w:top w:val="double" w:sz="4" w:space="0" w:color="auto"/>
            </w:tcBorders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A175F2" w:rsidRPr="009107A8" w:rsidRDefault="00A50550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60,000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A175F2" w:rsidTr="00CB1363">
        <w:tc>
          <w:tcPr>
            <w:tcW w:w="1515" w:type="dxa"/>
            <w:vMerge/>
            <w:tcBorders>
              <w:left w:val="double" w:sz="4" w:space="0" w:color="auto"/>
            </w:tcBorders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</w:tcPr>
          <w:p w:rsidR="00A175F2" w:rsidRPr="00CB1363" w:rsidRDefault="00956524" w:rsidP="00A175F2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2.2</w:t>
            </w:r>
            <w:r w:rsidR="00A175F2" w:rsidRPr="00CB1363">
              <w:rPr>
                <w:rFonts w:cs="Arial"/>
                <w:lang w:val="en-GB"/>
              </w:rPr>
              <w:t>: ADF Constitution and Bylaws adopted</w:t>
            </w: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</w:tcPr>
          <w:p w:rsidR="00A175F2" w:rsidRPr="009107A8" w:rsidRDefault="00A50550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A175F2" w:rsidTr="00CB1363">
        <w:tc>
          <w:tcPr>
            <w:tcW w:w="1515" w:type="dxa"/>
            <w:vMerge/>
            <w:tcBorders>
              <w:left w:val="double" w:sz="4" w:space="0" w:color="auto"/>
            </w:tcBorders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</w:tcPr>
          <w:p w:rsidR="00A175F2" w:rsidRPr="00CB1363" w:rsidRDefault="00956524" w:rsidP="00A175F2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2.3</w:t>
            </w:r>
            <w:r w:rsidR="00A175F2" w:rsidRPr="00CB1363">
              <w:rPr>
                <w:rFonts w:cs="Arial"/>
                <w:lang w:val="en-GB"/>
              </w:rPr>
              <w:t>: First ADF Executive Council elected</w:t>
            </w: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</w:tcPr>
          <w:p w:rsidR="00A175F2" w:rsidRPr="009107A8" w:rsidRDefault="00DD1118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A175F2" w:rsidTr="00CB1363">
        <w:tc>
          <w:tcPr>
            <w:tcW w:w="1515" w:type="dxa"/>
            <w:vMerge/>
            <w:tcBorders>
              <w:left w:val="double" w:sz="4" w:space="0" w:color="auto"/>
            </w:tcBorders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</w:tcPr>
          <w:p w:rsidR="00A175F2" w:rsidRPr="00CB1363" w:rsidRDefault="00956524" w:rsidP="00A175F2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2.4</w:t>
            </w:r>
            <w:r w:rsidR="00A175F2" w:rsidRPr="00CB1363">
              <w:rPr>
                <w:rFonts w:cs="Arial"/>
                <w:lang w:val="en-GB"/>
              </w:rPr>
              <w:t>: ADF legally registered in Ethiopia</w:t>
            </w: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</w:tcPr>
          <w:p w:rsidR="00A175F2" w:rsidRPr="009107A8" w:rsidRDefault="00DD1118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150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A175F2" w:rsidTr="00CB1363">
        <w:tc>
          <w:tcPr>
            <w:tcW w:w="1515" w:type="dxa"/>
            <w:vMerge/>
            <w:tcBorders>
              <w:left w:val="double" w:sz="4" w:space="0" w:color="auto"/>
            </w:tcBorders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</w:tcPr>
          <w:p w:rsidR="00A175F2" w:rsidRPr="00CB1363" w:rsidRDefault="00956524" w:rsidP="00A175F2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2.5</w:t>
            </w:r>
            <w:r w:rsidR="00A175F2" w:rsidRPr="00CB1363">
              <w:rPr>
                <w:rFonts w:cs="Arial"/>
                <w:lang w:val="en-GB"/>
              </w:rPr>
              <w:t>: ADF formally recognized by regional, international structures</w:t>
            </w: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A175F2" w:rsidRPr="009107A8" w:rsidRDefault="00A175F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</w:tcPr>
          <w:p w:rsidR="00A175F2" w:rsidRPr="009107A8" w:rsidRDefault="00DD1118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A175F2" w:rsidRPr="009107A8" w:rsidRDefault="00D016C2" w:rsidP="00A175F2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Paid by a different fund with the amount of 10,000USD </w:t>
            </w:r>
          </w:p>
        </w:tc>
      </w:tr>
      <w:tr w:rsidR="00B76F78" w:rsidTr="00CB1363">
        <w:tc>
          <w:tcPr>
            <w:tcW w:w="1515" w:type="dxa"/>
            <w:vMerge/>
            <w:tcBorders>
              <w:left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</w:tcPr>
          <w:p w:rsidR="00B76F78" w:rsidRPr="00CB1363" w:rsidRDefault="00B76F78" w:rsidP="00B76F78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2.6</w:t>
            </w:r>
            <w:r w:rsidRPr="00CB1363">
              <w:rPr>
                <w:rFonts w:cs="Arial"/>
                <w:lang w:val="en-GB"/>
              </w:rPr>
              <w:t>: AUC, ECA, IDA informed of ADF policy positions on various disability issues in Africa</w:t>
            </w: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</w:tcPr>
          <w:p w:rsidR="00B76F78" w:rsidRPr="009107A8" w:rsidRDefault="00DD111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B76F78" w:rsidTr="00CB1363">
        <w:tc>
          <w:tcPr>
            <w:tcW w:w="1515" w:type="dxa"/>
            <w:vMerge/>
            <w:tcBorders>
              <w:left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</w:tcPr>
          <w:p w:rsidR="00B76F78" w:rsidRPr="00CB1363" w:rsidRDefault="00B76F78" w:rsidP="00B76F78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2.7</w:t>
            </w:r>
            <w:r w:rsidRPr="00CB1363">
              <w:rPr>
                <w:rFonts w:cs="Arial"/>
                <w:lang w:val="en-GB"/>
              </w:rPr>
              <w:t>: ADF Communication functions established</w:t>
            </w: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</w:tcPr>
          <w:p w:rsidR="00B76F78" w:rsidRPr="009107A8" w:rsidRDefault="00DD111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10,100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B76F78" w:rsidTr="0006540E">
        <w:tc>
          <w:tcPr>
            <w:tcW w:w="15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B76F78" w:rsidRPr="00CB1363" w:rsidRDefault="00B76F78" w:rsidP="00B76F78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Subtotal: </w:t>
            </w: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B76F78" w:rsidRPr="009107A8" w:rsidRDefault="004456EA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70,250</w:t>
            </w: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B76F78" w:rsidTr="00CB1363">
        <w:tc>
          <w:tcPr>
            <w:tcW w:w="15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76F7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 w:rsidRPr="009107A8">
              <w:rPr>
                <w:rFonts w:cstheme="minorHAnsi"/>
                <w:b/>
                <w:sz w:val="18"/>
                <w:szCs w:val="16"/>
              </w:rPr>
              <w:t>OUT3</w:t>
            </w:r>
          </w:p>
          <w:p w:rsidR="00B76F7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 w:rsidRPr="00D564A7">
              <w:rPr>
                <w:rFonts w:cs="Arial"/>
                <w:lang w:val="en-GB"/>
              </w:rPr>
              <w:t>Capacity of African DPO federations strengthened to effectively promote the rights and inclusion of persons with disabilities in their countries</w:t>
            </w:r>
          </w:p>
        </w:tc>
        <w:tc>
          <w:tcPr>
            <w:tcW w:w="5163" w:type="dxa"/>
            <w:tcBorders>
              <w:top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="Arial"/>
                <w:lang w:val="en-GB"/>
              </w:rPr>
              <w:lastRenderedPageBreak/>
              <w:t>3.1</w:t>
            </w:r>
            <w:r w:rsidRPr="00D564A7">
              <w:rPr>
                <w:rFonts w:cs="Arial"/>
                <w:lang w:val="en-GB"/>
              </w:rPr>
              <w:t xml:space="preserve">: </w:t>
            </w:r>
            <w:r w:rsidRPr="00D564A7">
              <w:rPr>
                <w:rFonts w:cs="Arial"/>
                <w:lang w:val="en-GB"/>
              </w:rPr>
              <w:t>Organizational development and capacity needs of ADF member DPOs identified</w:t>
            </w:r>
          </w:p>
        </w:tc>
        <w:tc>
          <w:tcPr>
            <w:tcW w:w="585" w:type="dxa"/>
            <w:tcBorders>
              <w:top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B76F78" w:rsidRPr="009107A8" w:rsidRDefault="004456EA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5,000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B76F78" w:rsidTr="00CB1363">
        <w:tc>
          <w:tcPr>
            <w:tcW w:w="1515" w:type="dxa"/>
            <w:vMerge/>
            <w:tcBorders>
              <w:left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</w:tcPr>
          <w:p w:rsidR="00B76F78" w:rsidRPr="00D564A7" w:rsidRDefault="00B76F78" w:rsidP="00B76F78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3.2</w:t>
            </w:r>
            <w:r w:rsidRPr="00D564A7">
              <w:rPr>
                <w:rFonts w:cs="Arial"/>
                <w:lang w:val="en-GB"/>
              </w:rPr>
              <w:t>: Methodology for training of ADF me</w:t>
            </w:r>
            <w:bookmarkStart w:id="0" w:name="_GoBack"/>
            <w:bookmarkEnd w:id="0"/>
            <w:r w:rsidRPr="00D564A7">
              <w:rPr>
                <w:rFonts w:cs="Arial"/>
                <w:lang w:val="en-GB"/>
              </w:rPr>
              <w:t>mber DPO personnel for CRPD rights advocacy and inclusion designed</w:t>
            </w: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</w:tcPr>
          <w:p w:rsidR="00B76F78" w:rsidRPr="009107A8" w:rsidRDefault="004456EA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B76F78" w:rsidRPr="009107A8" w:rsidRDefault="00AC0E59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Paid by a different fund with the </w:t>
            </w:r>
            <w:r w:rsidR="00D016C2">
              <w:rPr>
                <w:rFonts w:cstheme="minorHAnsi"/>
                <w:b/>
                <w:sz w:val="18"/>
                <w:szCs w:val="16"/>
              </w:rPr>
              <w:t>amount of 35</w:t>
            </w:r>
            <w:r>
              <w:rPr>
                <w:rFonts w:cstheme="minorHAnsi"/>
                <w:b/>
                <w:sz w:val="18"/>
                <w:szCs w:val="16"/>
              </w:rPr>
              <w:t>,000USD</w:t>
            </w:r>
          </w:p>
        </w:tc>
      </w:tr>
      <w:tr w:rsidR="00B76F78" w:rsidTr="00CB1363">
        <w:tc>
          <w:tcPr>
            <w:tcW w:w="1515" w:type="dxa"/>
            <w:vMerge/>
            <w:tcBorders>
              <w:left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</w:tcPr>
          <w:p w:rsidR="00B76F78" w:rsidRPr="00D564A7" w:rsidRDefault="00B76F78" w:rsidP="00B76F78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3.3</w:t>
            </w:r>
            <w:r w:rsidRPr="00D564A7">
              <w:rPr>
                <w:rFonts w:cs="Arial"/>
                <w:lang w:val="en-GB"/>
              </w:rPr>
              <w:t>: Capacity Audits of ADF member continental and sub-regional DPO federations conducted</w:t>
            </w: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</w:tcPr>
          <w:p w:rsidR="00B76F78" w:rsidRPr="009107A8" w:rsidRDefault="00AC0E59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10,000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B76F78" w:rsidRPr="009107A8" w:rsidRDefault="00B76F78" w:rsidP="00B76F78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4A1036" w:rsidTr="00CB1363">
        <w:tc>
          <w:tcPr>
            <w:tcW w:w="1515" w:type="dxa"/>
            <w:vMerge/>
            <w:tcBorders>
              <w:left w:val="double" w:sz="4" w:space="0" w:color="auto"/>
            </w:tcBorders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</w:tcPr>
          <w:p w:rsidR="004A1036" w:rsidRDefault="004A1036" w:rsidP="004A1036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3.4</w:t>
            </w:r>
            <w:r w:rsidRPr="00D564A7">
              <w:rPr>
                <w:rFonts w:cs="Arial"/>
                <w:lang w:val="en-GB"/>
              </w:rPr>
              <w:t>: ADF Member DPO inputs into State and Alternate CRPD Reports increased</w:t>
            </w:r>
          </w:p>
        </w:tc>
        <w:tc>
          <w:tcPr>
            <w:tcW w:w="585" w:type="dxa"/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Paid by a different fund with the amount of 20,000USD</w:t>
            </w:r>
          </w:p>
        </w:tc>
      </w:tr>
      <w:tr w:rsidR="004A1036" w:rsidTr="0006540E">
        <w:tc>
          <w:tcPr>
            <w:tcW w:w="15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A1036" w:rsidRPr="00D564A7" w:rsidRDefault="004A1036" w:rsidP="004A1036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Subtotal: </w:t>
            </w: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A1036" w:rsidRPr="009107A8" w:rsidRDefault="00565855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15,000</w:t>
            </w: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4A1036" w:rsidTr="00CB1363">
        <w:tc>
          <w:tcPr>
            <w:tcW w:w="1515" w:type="dxa"/>
            <w:tcBorders>
              <w:left w:val="double" w:sz="4" w:space="0" w:color="auto"/>
              <w:bottom w:val="double" w:sz="4" w:space="0" w:color="auto"/>
            </w:tcBorders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163" w:type="dxa"/>
            <w:tcBorders>
              <w:bottom w:val="double" w:sz="4" w:space="0" w:color="auto"/>
            </w:tcBorders>
          </w:tcPr>
          <w:p w:rsidR="004A1036" w:rsidRPr="009107A8" w:rsidRDefault="00B0295B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ISS (7%)</w:t>
            </w:r>
          </w:p>
        </w:tc>
        <w:tc>
          <w:tcPr>
            <w:tcW w:w="585" w:type="dxa"/>
            <w:tcBorders>
              <w:bottom w:val="double" w:sz="4" w:space="0" w:color="auto"/>
            </w:tcBorders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4A1036" w:rsidRPr="009107A8" w:rsidRDefault="00106119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8,208</w:t>
            </w: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4A1036" w:rsidTr="002C1B35">
        <w:tc>
          <w:tcPr>
            <w:tcW w:w="1515" w:type="dxa"/>
            <w:tcBorders>
              <w:top w:val="double" w:sz="4" w:space="0" w:color="auto"/>
              <w:left w:val="double" w:sz="4" w:space="0" w:color="auto"/>
            </w:tcBorders>
          </w:tcPr>
          <w:p w:rsidR="004A1036" w:rsidRPr="009107A8" w:rsidRDefault="004A1036" w:rsidP="004A1036">
            <w:pPr>
              <w:spacing w:before="120" w:after="120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Total </w:t>
            </w:r>
          </w:p>
        </w:tc>
        <w:tc>
          <w:tcPr>
            <w:tcW w:w="11553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4A1036" w:rsidRPr="009107A8" w:rsidRDefault="00353049" w:rsidP="00353049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125,458</w:t>
            </w:r>
          </w:p>
        </w:tc>
      </w:tr>
    </w:tbl>
    <w:p w:rsidR="00E34807" w:rsidRDefault="00E34807" w:rsidP="00BB0CBA">
      <w:pPr>
        <w:rPr>
          <w:b/>
          <w:sz w:val="12"/>
          <w:szCs w:val="12"/>
        </w:rPr>
      </w:pPr>
    </w:p>
    <w:sectPr w:rsidR="00E34807" w:rsidSect="009107A8">
      <w:pgSz w:w="15840" w:h="12240" w:orient="landscape"/>
      <w:pgMar w:top="630" w:right="117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7A" w:rsidRDefault="00B1207A" w:rsidP="00AE5E29">
      <w:pPr>
        <w:spacing w:after="0" w:line="240" w:lineRule="auto"/>
      </w:pPr>
      <w:r>
        <w:separator/>
      </w:r>
    </w:p>
  </w:endnote>
  <w:endnote w:type="continuationSeparator" w:id="0">
    <w:p w:rsidR="00B1207A" w:rsidRDefault="00B1207A" w:rsidP="00AE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7A" w:rsidRDefault="00B1207A" w:rsidP="00AE5E29">
      <w:pPr>
        <w:spacing w:after="0" w:line="240" w:lineRule="auto"/>
      </w:pPr>
      <w:r>
        <w:separator/>
      </w:r>
    </w:p>
  </w:footnote>
  <w:footnote w:type="continuationSeparator" w:id="0">
    <w:p w:rsidR="00B1207A" w:rsidRDefault="00B1207A" w:rsidP="00AE5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168"/>
    <w:multiLevelType w:val="hybridMultilevel"/>
    <w:tmpl w:val="4FE2D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2DBE"/>
    <w:multiLevelType w:val="hybridMultilevel"/>
    <w:tmpl w:val="B3F0A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73470"/>
    <w:multiLevelType w:val="hybridMultilevel"/>
    <w:tmpl w:val="CD54BB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C51E8C"/>
    <w:multiLevelType w:val="multilevel"/>
    <w:tmpl w:val="257C6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65F4A2D"/>
    <w:multiLevelType w:val="hybridMultilevel"/>
    <w:tmpl w:val="BCCC8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E52E9"/>
    <w:multiLevelType w:val="hybridMultilevel"/>
    <w:tmpl w:val="01E4D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94FCE"/>
    <w:multiLevelType w:val="multilevel"/>
    <w:tmpl w:val="B6E27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FC48C2"/>
    <w:multiLevelType w:val="multilevel"/>
    <w:tmpl w:val="E746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B6A327E"/>
    <w:multiLevelType w:val="multilevel"/>
    <w:tmpl w:val="99A6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0E04708"/>
    <w:multiLevelType w:val="hybridMultilevel"/>
    <w:tmpl w:val="A3CC6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151B5"/>
    <w:multiLevelType w:val="hybridMultilevel"/>
    <w:tmpl w:val="B6A8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91259"/>
    <w:multiLevelType w:val="multilevel"/>
    <w:tmpl w:val="0786F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2B"/>
    <w:rsid w:val="000066B1"/>
    <w:rsid w:val="0002245F"/>
    <w:rsid w:val="00027DA4"/>
    <w:rsid w:val="0003344B"/>
    <w:rsid w:val="000544E3"/>
    <w:rsid w:val="00057EBB"/>
    <w:rsid w:val="0006540E"/>
    <w:rsid w:val="00106119"/>
    <w:rsid w:val="00127F95"/>
    <w:rsid w:val="00137348"/>
    <w:rsid w:val="00142BE9"/>
    <w:rsid w:val="00162885"/>
    <w:rsid w:val="00175FC3"/>
    <w:rsid w:val="001A7E5F"/>
    <w:rsid w:val="00202911"/>
    <w:rsid w:val="002108E5"/>
    <w:rsid w:val="00255A89"/>
    <w:rsid w:val="002A7142"/>
    <w:rsid w:val="002B0B2B"/>
    <w:rsid w:val="003162B2"/>
    <w:rsid w:val="00353049"/>
    <w:rsid w:val="00356A15"/>
    <w:rsid w:val="00385110"/>
    <w:rsid w:val="003B5461"/>
    <w:rsid w:val="003B6CC7"/>
    <w:rsid w:val="003C121A"/>
    <w:rsid w:val="003D4F13"/>
    <w:rsid w:val="003F09D8"/>
    <w:rsid w:val="00406A5F"/>
    <w:rsid w:val="00412DCC"/>
    <w:rsid w:val="00440FBC"/>
    <w:rsid w:val="004456EA"/>
    <w:rsid w:val="00475DFE"/>
    <w:rsid w:val="00483295"/>
    <w:rsid w:val="004A1036"/>
    <w:rsid w:val="004A2C3D"/>
    <w:rsid w:val="004A4936"/>
    <w:rsid w:val="004D202B"/>
    <w:rsid w:val="004E0F7E"/>
    <w:rsid w:val="004E391F"/>
    <w:rsid w:val="00511929"/>
    <w:rsid w:val="00525BBA"/>
    <w:rsid w:val="005266DE"/>
    <w:rsid w:val="00550D11"/>
    <w:rsid w:val="00565855"/>
    <w:rsid w:val="0058788C"/>
    <w:rsid w:val="005B1EB7"/>
    <w:rsid w:val="005D0604"/>
    <w:rsid w:val="005E61EE"/>
    <w:rsid w:val="005F6974"/>
    <w:rsid w:val="005F7C1B"/>
    <w:rsid w:val="006063A9"/>
    <w:rsid w:val="006417D9"/>
    <w:rsid w:val="0064439D"/>
    <w:rsid w:val="00647908"/>
    <w:rsid w:val="00655CFE"/>
    <w:rsid w:val="006674C5"/>
    <w:rsid w:val="0068507C"/>
    <w:rsid w:val="00685A94"/>
    <w:rsid w:val="00730B7A"/>
    <w:rsid w:val="00754CF8"/>
    <w:rsid w:val="00757125"/>
    <w:rsid w:val="00776870"/>
    <w:rsid w:val="0079231A"/>
    <w:rsid w:val="007A231D"/>
    <w:rsid w:val="007B06BC"/>
    <w:rsid w:val="00832AD3"/>
    <w:rsid w:val="008331E5"/>
    <w:rsid w:val="008446EA"/>
    <w:rsid w:val="00844C49"/>
    <w:rsid w:val="00867B0C"/>
    <w:rsid w:val="0087337E"/>
    <w:rsid w:val="008E71D9"/>
    <w:rsid w:val="009107A8"/>
    <w:rsid w:val="00910C39"/>
    <w:rsid w:val="00933C73"/>
    <w:rsid w:val="0094411F"/>
    <w:rsid w:val="00956524"/>
    <w:rsid w:val="00991779"/>
    <w:rsid w:val="009D2CBC"/>
    <w:rsid w:val="00A00EE7"/>
    <w:rsid w:val="00A041B5"/>
    <w:rsid w:val="00A10B2D"/>
    <w:rsid w:val="00A175F2"/>
    <w:rsid w:val="00A3140F"/>
    <w:rsid w:val="00A45864"/>
    <w:rsid w:val="00A45DDC"/>
    <w:rsid w:val="00A50550"/>
    <w:rsid w:val="00AA7D06"/>
    <w:rsid w:val="00AC0E59"/>
    <w:rsid w:val="00AE5E29"/>
    <w:rsid w:val="00B0295B"/>
    <w:rsid w:val="00B1207A"/>
    <w:rsid w:val="00B415E4"/>
    <w:rsid w:val="00B76F78"/>
    <w:rsid w:val="00BA11AF"/>
    <w:rsid w:val="00BB0CBA"/>
    <w:rsid w:val="00BE1A64"/>
    <w:rsid w:val="00C11EE6"/>
    <w:rsid w:val="00C27C47"/>
    <w:rsid w:val="00C33654"/>
    <w:rsid w:val="00C761E8"/>
    <w:rsid w:val="00CB1363"/>
    <w:rsid w:val="00CB7667"/>
    <w:rsid w:val="00CC686B"/>
    <w:rsid w:val="00D016C2"/>
    <w:rsid w:val="00D21B48"/>
    <w:rsid w:val="00D254CB"/>
    <w:rsid w:val="00D564A7"/>
    <w:rsid w:val="00D66F4B"/>
    <w:rsid w:val="00DC12E2"/>
    <w:rsid w:val="00DC7BFE"/>
    <w:rsid w:val="00DD1118"/>
    <w:rsid w:val="00DF690D"/>
    <w:rsid w:val="00E03080"/>
    <w:rsid w:val="00E0553D"/>
    <w:rsid w:val="00E12DF4"/>
    <w:rsid w:val="00E22318"/>
    <w:rsid w:val="00E34807"/>
    <w:rsid w:val="00E524B6"/>
    <w:rsid w:val="00EB474B"/>
    <w:rsid w:val="00EC1DC5"/>
    <w:rsid w:val="00ED2EB0"/>
    <w:rsid w:val="00F067E4"/>
    <w:rsid w:val="00F14AEC"/>
    <w:rsid w:val="00F36F7E"/>
    <w:rsid w:val="00F45078"/>
    <w:rsid w:val="00F54911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D8664-4EB2-4DC3-B700-88670BEC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02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5E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5E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5E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E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E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E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85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11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B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OUCode xmlns="1ed4137b-41b2-488b-8250-6d369ec27664">R12</UndpOUCode>
    <UNDPFocusAreasTaxHTField0 xmlns="1ed4137b-41b2-488b-8250-6d369ec27664">
      <Terms xmlns="http://schemas.microsoft.com/office/infopath/2007/PartnerControls"/>
    </UNDPFocusAreasTaxHTField0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c4e2ab2cc9354bbf9064eeb465a566ea xmlns="1ed4137b-41b2-488b-8250-6d369ec27664">
      <Terms xmlns="http://schemas.microsoft.com/office/infopath/2007/PartnerControls"/>
    </c4e2ab2cc9354bbf9064eeb465a566ea>
    <TaxCatchAll xmlns="1ed4137b-41b2-488b-8250-6d369ec27664">
      <Value>1110</Value>
      <Value>1584</Value>
      <Value>1</Value>
      <Value>763</Value>
    </TaxCatchAll>
    <UndpProjectNo xmlns="1ed4137b-41b2-488b-8250-6d369ec27664">00087326</UndpProjectNo>
    <UndpDocStatus xmlns="1ed4137b-41b2-488b-8250-6d369ec27664">Final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UNDPSummary xmlns="f1161f5b-24a3-4c2d-bc81-44cb9325e8ee" xsi:nil="true"/>
    <UNDPPublishedDate xmlns="f1161f5b-24a3-4c2d-bc81-44cb9325e8ee">2015-10-22T14:00:00+00:00</UNDPPublishedDate>
    <UNDPPOPPFunctionalArea xmlns="f1161f5b-24a3-4c2d-bc81-44cb9325e8ee">Programme and Project</UNDPPOPPFunctionalArea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 xsi:nil="true"/>
    <Project_x0020_Manager xmlns="f1161f5b-24a3-4c2d-bc81-44cb9325e8ee" xsi:nil="true"/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R12</TermName>
          <TermId xmlns="http://schemas.microsoft.com/office/infopath/2007/PartnerControls">8b333a0f-fedf-4f84-89bb-11e756740c87</TermId>
        </TermInfo>
      </Terms>
    </gc6531b704974d528487414686b72f6f>
    <_dlc_DocId xmlns="f1161f5b-24a3-4c2d-bc81-44cb9325e8ee">ATLASPDC-4-41450</_dlc_DocId>
    <_dlc_DocIdUrl xmlns="f1161f5b-24a3-4c2d-bc81-44cb9325e8ee">
      <Url>https://info.undp.org/docs/pdc/_layouts/DocIdRedir.aspx?ID=ATLASPDC-4-41450</Url>
      <Description>ATLASPDC-4-41450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D10A33-4EB2-4BA7-A628-88E8FBDEA162}"/>
</file>

<file path=customXml/itemProps2.xml><?xml version="1.0" encoding="utf-8"?>
<ds:datastoreItem xmlns:ds="http://schemas.openxmlformats.org/officeDocument/2006/customXml" ds:itemID="{EDC7F452-9EA5-480F-92CC-B7818A0A4D7C}"/>
</file>

<file path=customXml/itemProps3.xml><?xml version="1.0" encoding="utf-8"?>
<ds:datastoreItem xmlns:ds="http://schemas.openxmlformats.org/officeDocument/2006/customXml" ds:itemID="{8178522E-CE8B-4536-A82C-58C453E52DD5}"/>
</file>

<file path=customXml/itemProps4.xml><?xml version="1.0" encoding="utf-8"?>
<ds:datastoreItem xmlns:ds="http://schemas.openxmlformats.org/officeDocument/2006/customXml" ds:itemID="{68EBDCAB-4366-4CC9-8076-985D011D5217}"/>
</file>

<file path=customXml/itemProps5.xml><?xml version="1.0" encoding="utf-8"?>
<ds:datastoreItem xmlns:ds="http://schemas.openxmlformats.org/officeDocument/2006/customXml" ds:itemID="{C8B22E03-0E3A-4557-BE37-FF61190808F5}"/>
</file>

<file path=customXml/itemProps6.xml><?xml version="1.0" encoding="utf-8"?>
<ds:datastoreItem xmlns:ds="http://schemas.openxmlformats.org/officeDocument/2006/customXml" ds:itemID="{802834D0-0771-41C9-A8A9-11D5BF4E0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UNPRPD Support to the African Disability Forum</dc:title>
  <dc:subject>Annual Work Plan</dc:subject>
  <dc:creator>emanuele.sapienza</dc:creator>
  <cp:lastModifiedBy>Iman Sayed Taha El Hussien</cp:lastModifiedBy>
  <cp:revision>4</cp:revision>
  <cp:lastPrinted>2012-11-13T16:43:00Z</cp:lastPrinted>
  <dcterms:created xsi:type="dcterms:W3CDTF">2015-02-26T16:39:00Z</dcterms:created>
  <dcterms:modified xsi:type="dcterms:W3CDTF">2015-02-26T19:28:00Z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DPFocusAreas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Atlas_x0020_Document_x0020_Status">
    <vt:lpwstr>3;#Draft|148f9654-2d0b-4582-a532-49dea0090e5d</vt:lpwstr>
  </property>
  <property fmtid="{D5CDD505-2E9C-101B-9397-08002B2CF9AE}" pid="11" name="Atlas_x0020_Document_x0020_Type">
    <vt:lpwstr>228;#Prodoc|5f41516e-5ee3-43b6-82ea-9b89532838d0</vt:lpwstr>
  </property>
  <property fmtid="{D5CDD505-2E9C-101B-9397-08002B2CF9AE}" pid="12" name="Operating_x0020_Unit0">
    <vt:lpwstr>571;#R12|8a783860-ba4d-4de3-a186-bae476ab6a12</vt:lpwstr>
  </property>
  <property fmtid="{D5CDD505-2E9C-101B-9397-08002B2CF9AE}" pid="13" name="Operating Unit0">
    <vt:lpwstr>1584;#R12|8b333a0f-fedf-4f84-89bb-11e756740c87</vt:lpwstr>
  </property>
  <property fmtid="{D5CDD505-2E9C-101B-9397-08002B2CF9AE}" pid="14" name="Atlas Document Status">
    <vt:lpwstr>763;#Draft|121d40a5-e62e-4d42-82e4-d6d12003de0a</vt:lpwstr>
  </property>
  <property fmtid="{D5CDD505-2E9C-101B-9397-08002B2CF9AE}" pid="15" name="Atlas Document Type">
    <vt:lpwstr>1110;#Prodoc|099f975e-b4d9-4bba-a499-dbcc387c61ad</vt:lpwstr>
  </property>
  <property fmtid="{D5CDD505-2E9C-101B-9397-08002B2CF9AE}" pid="16" name="_dlc_DocIdItemGuid">
    <vt:lpwstr>5e4430ec-699d-47e3-980e-593182837af9</vt:lpwstr>
  </property>
  <property fmtid="{D5CDD505-2E9C-101B-9397-08002B2CF9AE}" pid="17" name="URL">
    <vt:lpwstr/>
  </property>
  <property fmtid="{D5CDD505-2E9C-101B-9397-08002B2CF9AE}" pid="18" name="DocumentSetDescription">
    <vt:lpwstr/>
  </property>
  <property fmtid="{D5CDD505-2E9C-101B-9397-08002B2CF9AE}" pid="19" name="UnitTaxHTField0">
    <vt:lpwstr/>
  </property>
  <property fmtid="{D5CDD505-2E9C-101B-9397-08002B2CF9AE}" pid="20" name="Unit">
    <vt:lpwstr/>
  </property>
</Properties>
</file>